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21766" w14:textId="3C81AFDB" w:rsidR="006818AE" w:rsidRDefault="00826084" w:rsidP="006818AE">
      <w:pPr>
        <w:pStyle w:val="Tablecaption"/>
        <w:spacing w:before="240" w:after="240"/>
      </w:pPr>
      <w:r w:rsidRPr="00826084">
        <w:t xml:space="preserve">Supplementary </w:t>
      </w:r>
      <w:r w:rsidR="006818AE" w:rsidRPr="00B972EA">
        <w:t xml:space="preserve">Table 1. </w:t>
      </w:r>
      <w:r w:rsidR="006818AE" w:rsidRPr="0004131A">
        <w:t>Suggested Framework for Comprehensive Departmental Perfusion Protocols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168"/>
        <w:gridCol w:w="3118"/>
        <w:gridCol w:w="3064"/>
      </w:tblGrid>
      <w:tr w:rsidR="006818AE" w:rsidRPr="00B972EA" w14:paraId="522DD6A4" w14:textId="77777777" w:rsidTr="00E26682">
        <w:tc>
          <w:tcPr>
            <w:tcW w:w="3540" w:type="dxa"/>
          </w:tcPr>
          <w:p w14:paraId="4D187CFE" w14:textId="77777777" w:rsidR="006818AE" w:rsidRPr="002406F5" w:rsidRDefault="006818AE" w:rsidP="00E26682">
            <w:pPr>
              <w:pStyle w:val="Tablebody"/>
              <w:rPr>
                <w:b/>
                <w:bCs/>
              </w:rPr>
            </w:pPr>
            <w:r w:rsidRPr="002406F5">
              <w:rPr>
                <w:b/>
                <w:bCs/>
              </w:rPr>
              <w:t>Protocol Category</w:t>
            </w:r>
          </w:p>
        </w:tc>
        <w:tc>
          <w:tcPr>
            <w:tcW w:w="3510" w:type="dxa"/>
          </w:tcPr>
          <w:p w14:paraId="3F800D6A" w14:textId="77777777" w:rsidR="006818AE" w:rsidRPr="002406F5" w:rsidRDefault="006818AE" w:rsidP="00E26682">
            <w:pPr>
              <w:pStyle w:val="Tablebody"/>
              <w:rPr>
                <w:b/>
                <w:bCs/>
              </w:rPr>
            </w:pPr>
            <w:r w:rsidRPr="002406F5">
              <w:rPr>
                <w:b/>
                <w:bCs/>
              </w:rPr>
              <w:t>Example Protocols</w:t>
            </w:r>
          </w:p>
        </w:tc>
        <w:tc>
          <w:tcPr>
            <w:tcW w:w="3478" w:type="dxa"/>
          </w:tcPr>
          <w:p w14:paraId="2E8F7FFD" w14:textId="77777777" w:rsidR="006818AE" w:rsidRPr="002406F5" w:rsidRDefault="006818AE" w:rsidP="00E26682">
            <w:pPr>
              <w:pStyle w:val="Tablebody"/>
              <w:rPr>
                <w:b/>
                <w:bCs/>
              </w:rPr>
            </w:pPr>
            <w:r w:rsidRPr="002406F5">
              <w:rPr>
                <w:b/>
                <w:bCs/>
              </w:rPr>
              <w:t>Purpose</w:t>
            </w:r>
          </w:p>
        </w:tc>
      </w:tr>
      <w:tr w:rsidR="006818AE" w:rsidRPr="00B972EA" w14:paraId="5690111D" w14:textId="77777777" w:rsidTr="00E26682">
        <w:tc>
          <w:tcPr>
            <w:tcW w:w="3540" w:type="dxa"/>
          </w:tcPr>
          <w:p w14:paraId="4390213A" w14:textId="77777777" w:rsidR="006818AE" w:rsidRPr="00B972EA" w:rsidRDefault="006818AE" w:rsidP="00E26682">
            <w:pPr>
              <w:pStyle w:val="Tablebody"/>
            </w:pPr>
            <w:r w:rsidRPr="00B972EA">
              <w:t>Routine Cardiopulmonary Bypass</w:t>
            </w:r>
          </w:p>
        </w:tc>
        <w:tc>
          <w:tcPr>
            <w:tcW w:w="3510" w:type="dxa"/>
          </w:tcPr>
          <w:p w14:paraId="0B578B23" w14:textId="77777777" w:rsidR="006818AE" w:rsidRPr="00B972EA" w:rsidRDefault="006818AE" w:rsidP="00E26682">
            <w:pPr>
              <w:pStyle w:val="Tablebody"/>
            </w:pPr>
            <w:r w:rsidRPr="00B972EA">
              <w:t>Anticoagulation management, ACT monitoring, circuit setup, priming, myocardial protection, temperature management, blood conservation</w:t>
            </w:r>
          </w:p>
        </w:tc>
        <w:tc>
          <w:tcPr>
            <w:tcW w:w="3478" w:type="dxa"/>
          </w:tcPr>
          <w:p w14:paraId="388161C2" w14:textId="77777777" w:rsidR="006818AE" w:rsidRPr="00B972EA" w:rsidRDefault="006818AE" w:rsidP="00E26682">
            <w:pPr>
              <w:pStyle w:val="Tablebody"/>
            </w:pPr>
            <w:r w:rsidRPr="00B972EA">
              <w:t>Standardize routine CPB conduct and reduce practice variability</w:t>
            </w:r>
          </w:p>
        </w:tc>
      </w:tr>
      <w:tr w:rsidR="006818AE" w:rsidRPr="00B972EA" w14:paraId="5A5BA462" w14:textId="77777777" w:rsidTr="00E26682">
        <w:tc>
          <w:tcPr>
            <w:tcW w:w="3540" w:type="dxa"/>
          </w:tcPr>
          <w:p w14:paraId="6FED63DE" w14:textId="77777777" w:rsidR="006818AE" w:rsidRPr="00B972EA" w:rsidRDefault="006818AE" w:rsidP="00E26682">
            <w:pPr>
              <w:pStyle w:val="Tablebody"/>
            </w:pPr>
            <w:r w:rsidRPr="00B972EA">
              <w:t>Special Patient Populations</w:t>
            </w:r>
          </w:p>
        </w:tc>
        <w:tc>
          <w:tcPr>
            <w:tcW w:w="3510" w:type="dxa"/>
          </w:tcPr>
          <w:p w14:paraId="011D2FCB" w14:textId="77777777" w:rsidR="006818AE" w:rsidRPr="00B972EA" w:rsidRDefault="006818AE" w:rsidP="00E26682">
            <w:pPr>
              <w:pStyle w:val="Tablebody"/>
            </w:pPr>
            <w:r w:rsidRPr="00B972EA">
              <w:t>APS, HIT, pregnancy, morbid obesity, sickle cell disease, cold agglutinin disease, severe pulmonary hypertension, inherited coagulation disorders</w:t>
            </w:r>
          </w:p>
        </w:tc>
        <w:tc>
          <w:tcPr>
            <w:tcW w:w="3478" w:type="dxa"/>
          </w:tcPr>
          <w:p w14:paraId="57BF20D6" w14:textId="77777777" w:rsidR="006818AE" w:rsidRPr="00B972EA" w:rsidRDefault="006818AE" w:rsidP="00E26682">
            <w:pPr>
              <w:pStyle w:val="Tablebody"/>
            </w:pPr>
            <w:r w:rsidRPr="00B972EA">
              <w:t>Provide evidence-based guidance for uncommon and high-risk patients</w:t>
            </w:r>
          </w:p>
        </w:tc>
      </w:tr>
      <w:tr w:rsidR="006818AE" w:rsidRPr="00B972EA" w14:paraId="79EC9C81" w14:textId="77777777" w:rsidTr="00E26682">
        <w:tc>
          <w:tcPr>
            <w:tcW w:w="3540" w:type="dxa"/>
          </w:tcPr>
          <w:p w14:paraId="08BE2576" w14:textId="77777777" w:rsidR="006818AE" w:rsidRPr="00B972EA" w:rsidRDefault="006818AE" w:rsidP="00E26682">
            <w:pPr>
              <w:pStyle w:val="Tablebody"/>
            </w:pPr>
            <w:r w:rsidRPr="00B972EA">
              <w:t>Mechanical Circulatory Support</w:t>
            </w:r>
          </w:p>
        </w:tc>
        <w:tc>
          <w:tcPr>
            <w:tcW w:w="3510" w:type="dxa"/>
          </w:tcPr>
          <w:p w14:paraId="01AFDBE4" w14:textId="77777777" w:rsidR="006818AE" w:rsidRPr="00B972EA" w:rsidRDefault="006818AE" w:rsidP="00E26682">
            <w:pPr>
              <w:pStyle w:val="Tablebody"/>
            </w:pPr>
            <w:r w:rsidRPr="00B972EA">
              <w:t>ECMO initiation, ECPR, VAD support, temporary MCS, ECMO-to-CPB</w:t>
            </w:r>
            <w:r>
              <w:t xml:space="preserve"> and CPB-to-ECMO</w:t>
            </w:r>
            <w:r w:rsidRPr="00B972EA">
              <w:t xml:space="preserve"> conversion</w:t>
            </w:r>
          </w:p>
        </w:tc>
        <w:tc>
          <w:tcPr>
            <w:tcW w:w="3478" w:type="dxa"/>
          </w:tcPr>
          <w:p w14:paraId="529359E6" w14:textId="77777777" w:rsidR="006818AE" w:rsidRPr="00B972EA" w:rsidRDefault="006818AE" w:rsidP="00E26682">
            <w:pPr>
              <w:pStyle w:val="Tablebody"/>
            </w:pPr>
            <w:r w:rsidRPr="00B972EA">
              <w:t>Standardize support strategies and emergency management</w:t>
            </w:r>
          </w:p>
        </w:tc>
      </w:tr>
      <w:tr w:rsidR="006818AE" w:rsidRPr="00B972EA" w14:paraId="50765596" w14:textId="77777777" w:rsidTr="00E26682">
        <w:tc>
          <w:tcPr>
            <w:tcW w:w="3540" w:type="dxa"/>
          </w:tcPr>
          <w:p w14:paraId="053CEA71" w14:textId="77777777" w:rsidR="006818AE" w:rsidRPr="00B972EA" w:rsidRDefault="006818AE" w:rsidP="00E26682">
            <w:pPr>
              <w:pStyle w:val="Tablebody"/>
            </w:pPr>
            <w:r w:rsidRPr="00B972EA">
              <w:t>Transplantation</w:t>
            </w:r>
          </w:p>
        </w:tc>
        <w:tc>
          <w:tcPr>
            <w:tcW w:w="3510" w:type="dxa"/>
          </w:tcPr>
          <w:p w14:paraId="0CFAA1FB" w14:textId="77777777" w:rsidR="006818AE" w:rsidRPr="00B972EA" w:rsidRDefault="006818AE" w:rsidP="00E26682">
            <w:pPr>
              <w:pStyle w:val="Tablebody"/>
            </w:pPr>
            <w:r w:rsidRPr="00B972EA">
              <w:t>Heart transplantation, lung transplantation,</w:t>
            </w:r>
            <w:r>
              <w:t xml:space="preserve"> Liver Transplant,</w:t>
            </w:r>
            <w:r w:rsidRPr="00B972EA">
              <w:t xml:space="preserve"> combined organ transplantation, ex vivo organ support</w:t>
            </w:r>
          </w:p>
        </w:tc>
        <w:tc>
          <w:tcPr>
            <w:tcW w:w="3478" w:type="dxa"/>
          </w:tcPr>
          <w:p w14:paraId="0624E51E" w14:textId="77777777" w:rsidR="006818AE" w:rsidRPr="00B972EA" w:rsidRDefault="006818AE" w:rsidP="00E26682">
            <w:pPr>
              <w:pStyle w:val="Tablebody"/>
            </w:pPr>
            <w:r w:rsidRPr="00B972EA">
              <w:t>Address unique perfusion requirements in transplant programs</w:t>
            </w:r>
          </w:p>
        </w:tc>
      </w:tr>
      <w:tr w:rsidR="006818AE" w:rsidRPr="00B972EA" w14:paraId="4B5C442D" w14:textId="77777777" w:rsidTr="00E26682">
        <w:tc>
          <w:tcPr>
            <w:tcW w:w="3540" w:type="dxa"/>
          </w:tcPr>
          <w:p w14:paraId="66BE4357" w14:textId="77777777" w:rsidR="006818AE" w:rsidRPr="00B972EA" w:rsidRDefault="006818AE" w:rsidP="00E26682">
            <w:pPr>
              <w:pStyle w:val="Tablebody"/>
            </w:pPr>
            <w:r w:rsidRPr="00B972EA">
              <w:t>Emergency Management</w:t>
            </w:r>
          </w:p>
        </w:tc>
        <w:tc>
          <w:tcPr>
            <w:tcW w:w="3510" w:type="dxa"/>
          </w:tcPr>
          <w:p w14:paraId="2C2A575E" w14:textId="77777777" w:rsidR="006818AE" w:rsidRPr="00B972EA" w:rsidRDefault="006818AE" w:rsidP="00E26682">
            <w:pPr>
              <w:pStyle w:val="Tablebody"/>
            </w:pPr>
            <w:r w:rsidRPr="00B972EA">
              <w:t>Oxygenator failure, air embolism, venous air lock, pump failure, gas supply interruption, massive hemorrhage</w:t>
            </w:r>
          </w:p>
        </w:tc>
        <w:tc>
          <w:tcPr>
            <w:tcW w:w="3478" w:type="dxa"/>
          </w:tcPr>
          <w:p w14:paraId="6F66872A" w14:textId="77777777" w:rsidR="006818AE" w:rsidRPr="00B972EA" w:rsidRDefault="006818AE" w:rsidP="00E26682">
            <w:pPr>
              <w:pStyle w:val="Tablebody"/>
            </w:pPr>
            <w:r w:rsidRPr="00B972EA">
              <w:t>Improve preparedness and reduce response times during critical events</w:t>
            </w:r>
          </w:p>
        </w:tc>
      </w:tr>
      <w:tr w:rsidR="006818AE" w:rsidRPr="00B972EA" w14:paraId="193F6934" w14:textId="77777777" w:rsidTr="00E26682">
        <w:tc>
          <w:tcPr>
            <w:tcW w:w="3540" w:type="dxa"/>
          </w:tcPr>
          <w:p w14:paraId="2DB05E2C" w14:textId="77777777" w:rsidR="006818AE" w:rsidRPr="00B972EA" w:rsidRDefault="006818AE" w:rsidP="00E26682">
            <w:pPr>
              <w:pStyle w:val="Tablebody"/>
            </w:pPr>
            <w:r w:rsidRPr="00B972EA">
              <w:t>Crisis Response Checklists</w:t>
            </w:r>
          </w:p>
        </w:tc>
        <w:tc>
          <w:tcPr>
            <w:tcW w:w="3510" w:type="dxa"/>
          </w:tcPr>
          <w:p w14:paraId="62198012" w14:textId="77777777" w:rsidR="006818AE" w:rsidRPr="00B972EA" w:rsidRDefault="006818AE" w:rsidP="00E26682">
            <w:pPr>
              <w:pStyle w:val="Tablebody"/>
            </w:pPr>
            <w:r w:rsidRPr="00B972EA">
              <w:t>Emergency decannulation, heparin resistance, protamine reaction, cardioplegia delivery failure, emergency sternotomy</w:t>
            </w:r>
          </w:p>
        </w:tc>
        <w:tc>
          <w:tcPr>
            <w:tcW w:w="3478" w:type="dxa"/>
          </w:tcPr>
          <w:p w14:paraId="07531453" w14:textId="77777777" w:rsidR="006818AE" w:rsidRPr="00B972EA" w:rsidRDefault="006818AE" w:rsidP="00E26682">
            <w:pPr>
              <w:pStyle w:val="Tablebody"/>
            </w:pPr>
            <w:r w:rsidRPr="00B972EA">
              <w:t>Provide rapid-access guidance during time-critical situations</w:t>
            </w:r>
          </w:p>
        </w:tc>
      </w:tr>
      <w:tr w:rsidR="006818AE" w:rsidRPr="00B972EA" w14:paraId="279B5AF7" w14:textId="77777777" w:rsidTr="00E26682">
        <w:tc>
          <w:tcPr>
            <w:tcW w:w="3540" w:type="dxa"/>
          </w:tcPr>
          <w:p w14:paraId="30B3BA72" w14:textId="77777777" w:rsidR="006818AE" w:rsidRPr="00B972EA" w:rsidRDefault="006818AE" w:rsidP="00E26682">
            <w:pPr>
              <w:pStyle w:val="Tablebody"/>
            </w:pPr>
            <w:r w:rsidRPr="00B972EA">
              <w:t>Education and Competency</w:t>
            </w:r>
          </w:p>
        </w:tc>
        <w:tc>
          <w:tcPr>
            <w:tcW w:w="3510" w:type="dxa"/>
          </w:tcPr>
          <w:p w14:paraId="7A0476FC" w14:textId="77777777" w:rsidR="006818AE" w:rsidRPr="00B972EA" w:rsidRDefault="006818AE" w:rsidP="00E26682">
            <w:pPr>
              <w:pStyle w:val="Tablebody"/>
            </w:pPr>
            <w:r w:rsidRPr="00B972EA">
              <w:t>Orientation pathways, onboarding, annual competency assessment, simulation training, continuing education</w:t>
            </w:r>
          </w:p>
        </w:tc>
        <w:tc>
          <w:tcPr>
            <w:tcW w:w="3478" w:type="dxa"/>
          </w:tcPr>
          <w:p w14:paraId="18559E01" w14:textId="77777777" w:rsidR="006818AE" w:rsidRPr="00B972EA" w:rsidRDefault="006818AE" w:rsidP="00E26682">
            <w:pPr>
              <w:pStyle w:val="Tablebody"/>
            </w:pPr>
            <w:r w:rsidRPr="00B972EA">
              <w:t>Support staff development and knowledge retention</w:t>
            </w:r>
          </w:p>
        </w:tc>
      </w:tr>
      <w:tr w:rsidR="006818AE" w:rsidRPr="00B972EA" w14:paraId="5A9379CD" w14:textId="77777777" w:rsidTr="00E26682">
        <w:tc>
          <w:tcPr>
            <w:tcW w:w="3540" w:type="dxa"/>
          </w:tcPr>
          <w:p w14:paraId="0DFD7DF7" w14:textId="77777777" w:rsidR="006818AE" w:rsidRPr="00B972EA" w:rsidRDefault="006818AE" w:rsidP="00E26682">
            <w:pPr>
              <w:pStyle w:val="Tablebody"/>
            </w:pPr>
            <w:r w:rsidRPr="00B972EA">
              <w:t>Quality Improvement and Governance</w:t>
            </w:r>
          </w:p>
        </w:tc>
        <w:tc>
          <w:tcPr>
            <w:tcW w:w="3510" w:type="dxa"/>
          </w:tcPr>
          <w:p w14:paraId="50D6241A" w14:textId="77777777" w:rsidR="006818AE" w:rsidRPr="00B972EA" w:rsidRDefault="006818AE" w:rsidP="00E26682">
            <w:pPr>
              <w:pStyle w:val="Tablebody"/>
            </w:pPr>
            <w:r w:rsidRPr="00B972EA">
              <w:t>Protocol review, version control, incident review, audit programs, quality metrics, protocol compliance monitoring</w:t>
            </w:r>
          </w:p>
        </w:tc>
        <w:tc>
          <w:tcPr>
            <w:tcW w:w="3478" w:type="dxa"/>
          </w:tcPr>
          <w:p w14:paraId="4233DC33" w14:textId="77777777" w:rsidR="006818AE" w:rsidRPr="00B972EA" w:rsidRDefault="006818AE" w:rsidP="00E26682">
            <w:pPr>
              <w:pStyle w:val="Tablebody"/>
            </w:pPr>
            <w:r w:rsidRPr="00B972EA">
              <w:t>Facilitate continuous quality improvement and governance</w:t>
            </w:r>
          </w:p>
        </w:tc>
      </w:tr>
      <w:tr w:rsidR="006818AE" w:rsidRPr="00B972EA" w14:paraId="02A74575" w14:textId="77777777" w:rsidTr="00E26682">
        <w:tc>
          <w:tcPr>
            <w:tcW w:w="3540" w:type="dxa"/>
          </w:tcPr>
          <w:p w14:paraId="66B48F2D" w14:textId="77777777" w:rsidR="006818AE" w:rsidRPr="00B972EA" w:rsidRDefault="006818AE" w:rsidP="00E26682">
            <w:pPr>
              <w:pStyle w:val="Tablebody"/>
            </w:pPr>
            <w:r w:rsidRPr="00B972EA">
              <w:t>Equipment and Technology</w:t>
            </w:r>
          </w:p>
        </w:tc>
        <w:tc>
          <w:tcPr>
            <w:tcW w:w="3510" w:type="dxa"/>
          </w:tcPr>
          <w:p w14:paraId="37E5AC28" w14:textId="77777777" w:rsidR="006818AE" w:rsidRPr="00B972EA" w:rsidRDefault="006818AE" w:rsidP="00E26682">
            <w:pPr>
              <w:pStyle w:val="Tablebody"/>
            </w:pPr>
            <w:r w:rsidRPr="00B972EA">
              <w:t>Heater-cooler management, backup equipment, monitoring systems, point-of-care testing, troubleshooting guides</w:t>
            </w:r>
          </w:p>
        </w:tc>
        <w:tc>
          <w:tcPr>
            <w:tcW w:w="3478" w:type="dxa"/>
          </w:tcPr>
          <w:p w14:paraId="010A4936" w14:textId="77777777" w:rsidR="006818AE" w:rsidRPr="00B972EA" w:rsidRDefault="006818AE" w:rsidP="00E26682">
            <w:pPr>
              <w:pStyle w:val="Tablebody"/>
            </w:pPr>
            <w:r w:rsidRPr="00B972EA">
              <w:t>Promote equipment readiness and safe technology utilization</w:t>
            </w:r>
          </w:p>
        </w:tc>
      </w:tr>
      <w:tr w:rsidR="006818AE" w:rsidRPr="00B972EA" w14:paraId="59B659C0" w14:textId="77777777" w:rsidTr="00E26682">
        <w:tc>
          <w:tcPr>
            <w:tcW w:w="3540" w:type="dxa"/>
          </w:tcPr>
          <w:p w14:paraId="66204CC1" w14:textId="77777777" w:rsidR="006818AE" w:rsidRPr="00B972EA" w:rsidRDefault="006818AE" w:rsidP="00E26682">
            <w:pPr>
              <w:pStyle w:val="Tablebody"/>
            </w:pPr>
            <w:r w:rsidRPr="00B972EA">
              <w:t>ECMO and Critical Care Support</w:t>
            </w:r>
          </w:p>
        </w:tc>
        <w:tc>
          <w:tcPr>
            <w:tcW w:w="3510" w:type="dxa"/>
          </w:tcPr>
          <w:p w14:paraId="002D76BF" w14:textId="77777777" w:rsidR="006818AE" w:rsidRPr="00B972EA" w:rsidRDefault="006818AE" w:rsidP="00E26682">
            <w:pPr>
              <w:pStyle w:val="Tablebody"/>
            </w:pPr>
            <w:r w:rsidRPr="00B972EA">
              <w:t>Retrieval programs, transport protocols, mobilization, bedside procedures, weaning and decannulation</w:t>
            </w:r>
          </w:p>
        </w:tc>
        <w:tc>
          <w:tcPr>
            <w:tcW w:w="3478" w:type="dxa"/>
          </w:tcPr>
          <w:p w14:paraId="6B313475" w14:textId="77777777" w:rsidR="006818AE" w:rsidRPr="00B972EA" w:rsidRDefault="006818AE" w:rsidP="00E26682">
            <w:pPr>
              <w:pStyle w:val="Tablebody"/>
            </w:pPr>
            <w:r w:rsidRPr="00B972EA">
              <w:t>Standardize extracorporeal support beyond the operating room</w:t>
            </w:r>
          </w:p>
        </w:tc>
      </w:tr>
    </w:tbl>
    <w:p w14:paraId="73C4BB48" w14:textId="439DFC88" w:rsidR="00203B1F" w:rsidRDefault="00203B1F"/>
    <w:p w14:paraId="1EEDC8D2" w14:textId="233DEAD8" w:rsidR="006818AE" w:rsidRDefault="006818AE"/>
    <w:p w14:paraId="44EA1741" w14:textId="77777777" w:rsidR="005645A7" w:rsidRDefault="005645A7" w:rsidP="006818AE">
      <w:pPr>
        <w:pStyle w:val="Text"/>
        <w:ind w:firstLineChars="0" w:firstLine="0"/>
        <w:rPr>
          <w:b/>
          <w:bCs/>
          <w:snapToGrid/>
          <w:color w:val="000000" w:themeColor="text1"/>
          <w:kern w:val="44"/>
          <w:szCs w:val="21"/>
          <w:lang w:eastAsia="zh-CN" w:bidi="ar-SA"/>
        </w:rPr>
      </w:pPr>
    </w:p>
    <w:p w14:paraId="631FADD9" w14:textId="77777777" w:rsidR="005645A7" w:rsidRDefault="005645A7" w:rsidP="006818AE">
      <w:pPr>
        <w:pStyle w:val="Text"/>
        <w:ind w:firstLineChars="0" w:firstLine="0"/>
        <w:rPr>
          <w:b/>
          <w:bCs/>
          <w:snapToGrid/>
          <w:color w:val="000000" w:themeColor="text1"/>
          <w:kern w:val="44"/>
          <w:szCs w:val="21"/>
          <w:lang w:eastAsia="zh-CN" w:bidi="ar-SA"/>
        </w:rPr>
      </w:pPr>
    </w:p>
    <w:p w14:paraId="754B84FE" w14:textId="0CA484FE" w:rsidR="006818AE" w:rsidRPr="005645A7" w:rsidRDefault="00826084" w:rsidP="006818AE">
      <w:pPr>
        <w:pStyle w:val="Text"/>
        <w:ind w:firstLineChars="0" w:firstLine="0"/>
        <w:rPr>
          <w:b/>
          <w:bCs/>
          <w:snapToGrid/>
          <w:color w:val="000000" w:themeColor="text1"/>
          <w:kern w:val="44"/>
          <w:szCs w:val="21"/>
          <w:lang w:eastAsia="zh-CN" w:bidi="ar-SA"/>
        </w:rPr>
      </w:pPr>
      <w:r w:rsidRPr="00826084">
        <w:rPr>
          <w:b/>
          <w:bCs/>
          <w:snapToGrid/>
          <w:color w:val="000000" w:themeColor="text1"/>
          <w:kern w:val="44"/>
          <w:szCs w:val="21"/>
          <w:lang w:eastAsia="zh-CN" w:bidi="ar-SA"/>
        </w:rPr>
        <w:lastRenderedPageBreak/>
        <w:t xml:space="preserve">Supplementary </w:t>
      </w:r>
      <w:bookmarkStart w:id="0" w:name="_GoBack"/>
      <w:bookmarkEnd w:id="0"/>
      <w:r w:rsidR="006818AE" w:rsidRPr="00573115">
        <w:rPr>
          <w:b/>
          <w:bCs/>
          <w:snapToGrid/>
          <w:color w:val="000000" w:themeColor="text1"/>
          <w:kern w:val="44"/>
          <w:szCs w:val="21"/>
          <w:lang w:eastAsia="zh-CN" w:bidi="ar-SA"/>
        </w:rPr>
        <w:t xml:space="preserve">Table 2. </w:t>
      </w:r>
      <w:r w:rsidR="006818AE" w:rsidRPr="005645A7">
        <w:rPr>
          <w:b/>
          <w:bCs/>
          <w:snapToGrid/>
          <w:color w:val="000000" w:themeColor="text1"/>
          <w:kern w:val="44"/>
          <w:szCs w:val="21"/>
          <w:lang w:eastAsia="zh-CN" w:bidi="ar-SA"/>
        </w:rPr>
        <w:t>Risk-Based Prioritization Framework for Protocol Development and Implementation</w:t>
      </w:r>
    </w:p>
    <w:p w14:paraId="6D39F4E3" w14:textId="77777777" w:rsidR="006818AE" w:rsidRPr="005645A7" w:rsidRDefault="006818AE" w:rsidP="006818AE">
      <w:pPr>
        <w:pStyle w:val="Text"/>
        <w:ind w:firstLineChars="0" w:firstLine="0"/>
        <w:rPr>
          <w:rFonts w:eastAsia="宋体"/>
          <w:noProof/>
          <w:snapToGrid/>
          <w:szCs w:val="24"/>
          <w:lang w:eastAsia="zh-CN"/>
        </w:rPr>
      </w:pPr>
    </w:p>
    <w:tbl>
      <w:tblPr>
        <w:tblStyle w:val="af2"/>
        <w:tblW w:w="9781" w:type="dxa"/>
        <w:tblInd w:w="-34" w:type="dxa"/>
        <w:tblLook w:val="04A0" w:firstRow="1" w:lastRow="0" w:firstColumn="1" w:lastColumn="0" w:noHBand="0" w:noVBand="1"/>
      </w:tblPr>
      <w:tblGrid>
        <w:gridCol w:w="2248"/>
        <w:gridCol w:w="1492"/>
        <w:gridCol w:w="1654"/>
        <w:gridCol w:w="2552"/>
        <w:gridCol w:w="1835"/>
      </w:tblGrid>
      <w:tr w:rsidR="006818AE" w:rsidRPr="005645A7" w14:paraId="53B07241" w14:textId="77777777" w:rsidTr="00E26682">
        <w:tc>
          <w:tcPr>
            <w:tcW w:w="2317" w:type="dxa"/>
          </w:tcPr>
          <w:p w14:paraId="6374A8F7" w14:textId="77777777" w:rsidR="006818AE" w:rsidRPr="005645A7" w:rsidRDefault="006818AE" w:rsidP="00E26682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645A7">
              <w:rPr>
                <w:b/>
                <w:bCs/>
                <w:color w:val="000000" w:themeColor="text1"/>
                <w:sz w:val="21"/>
                <w:szCs w:val="21"/>
              </w:rPr>
              <w:t>Priority Level</w:t>
            </w:r>
          </w:p>
        </w:tc>
        <w:tc>
          <w:tcPr>
            <w:tcW w:w="1348" w:type="dxa"/>
          </w:tcPr>
          <w:p w14:paraId="0D82F95B" w14:textId="77777777" w:rsidR="006818AE" w:rsidRPr="005645A7" w:rsidRDefault="006818AE" w:rsidP="00E26682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645A7">
              <w:rPr>
                <w:b/>
                <w:bCs/>
                <w:color w:val="000000" w:themeColor="text1"/>
                <w:sz w:val="21"/>
                <w:szCs w:val="21"/>
              </w:rPr>
              <w:t>Risk Profile</w:t>
            </w:r>
          </w:p>
        </w:tc>
        <w:tc>
          <w:tcPr>
            <w:tcW w:w="1677" w:type="dxa"/>
          </w:tcPr>
          <w:p w14:paraId="74A4C191" w14:textId="77777777" w:rsidR="006818AE" w:rsidRPr="005645A7" w:rsidRDefault="006818AE" w:rsidP="00E26682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645A7">
              <w:rPr>
                <w:b/>
                <w:bCs/>
                <w:color w:val="000000" w:themeColor="text1"/>
                <w:sz w:val="21"/>
                <w:szCs w:val="21"/>
              </w:rPr>
              <w:t>Frequency</w:t>
            </w:r>
          </w:p>
        </w:tc>
        <w:tc>
          <w:tcPr>
            <w:tcW w:w="2597" w:type="dxa"/>
          </w:tcPr>
          <w:p w14:paraId="6FA2C9A4" w14:textId="77777777" w:rsidR="006818AE" w:rsidRPr="005645A7" w:rsidRDefault="006818AE" w:rsidP="00E26682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645A7">
              <w:rPr>
                <w:b/>
                <w:bCs/>
                <w:color w:val="000000" w:themeColor="text1"/>
                <w:sz w:val="21"/>
                <w:szCs w:val="21"/>
              </w:rPr>
              <w:t>Examples</w:t>
            </w:r>
          </w:p>
        </w:tc>
        <w:tc>
          <w:tcPr>
            <w:tcW w:w="1842" w:type="dxa"/>
          </w:tcPr>
          <w:p w14:paraId="531E7D0E" w14:textId="77777777" w:rsidR="006818AE" w:rsidRPr="005645A7" w:rsidRDefault="006818AE" w:rsidP="00E26682">
            <w:pPr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5645A7">
              <w:rPr>
                <w:b/>
                <w:bCs/>
                <w:color w:val="000000" w:themeColor="text1"/>
                <w:sz w:val="21"/>
                <w:szCs w:val="21"/>
              </w:rPr>
              <w:t>Recommended Timeline</w:t>
            </w:r>
          </w:p>
        </w:tc>
      </w:tr>
      <w:tr w:rsidR="006818AE" w:rsidRPr="005645A7" w14:paraId="0708204B" w14:textId="77777777" w:rsidTr="00E26682">
        <w:tc>
          <w:tcPr>
            <w:tcW w:w="2317" w:type="dxa"/>
          </w:tcPr>
          <w:p w14:paraId="331BFE3B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Priority 1</w:t>
            </w:r>
          </w:p>
        </w:tc>
        <w:tc>
          <w:tcPr>
            <w:tcW w:w="1348" w:type="dxa"/>
          </w:tcPr>
          <w:p w14:paraId="53F4F65F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High Risk</w:t>
            </w:r>
          </w:p>
        </w:tc>
        <w:tc>
          <w:tcPr>
            <w:tcW w:w="1677" w:type="dxa"/>
          </w:tcPr>
          <w:p w14:paraId="779C8BA6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High Frequency</w:t>
            </w:r>
          </w:p>
        </w:tc>
        <w:tc>
          <w:tcPr>
            <w:tcW w:w="2597" w:type="dxa"/>
          </w:tcPr>
          <w:p w14:paraId="4BA66A25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CPB anticoagulation management, ACT monitoring, circuit setup, priming, myocardial protection, temperature management, blood conservation, oxygen delivery monitoring</w:t>
            </w:r>
          </w:p>
        </w:tc>
        <w:tc>
          <w:tcPr>
            <w:tcW w:w="1842" w:type="dxa"/>
          </w:tcPr>
          <w:p w14:paraId="4A42FD9C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Immediate implementation</w:t>
            </w:r>
          </w:p>
        </w:tc>
      </w:tr>
      <w:tr w:rsidR="006818AE" w:rsidRPr="005645A7" w14:paraId="230BA966" w14:textId="77777777" w:rsidTr="00E26682">
        <w:tc>
          <w:tcPr>
            <w:tcW w:w="2317" w:type="dxa"/>
          </w:tcPr>
          <w:p w14:paraId="5DCB8FD2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Priority 2</w:t>
            </w:r>
          </w:p>
        </w:tc>
        <w:tc>
          <w:tcPr>
            <w:tcW w:w="1348" w:type="dxa"/>
          </w:tcPr>
          <w:p w14:paraId="65595C6E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High Risk</w:t>
            </w:r>
          </w:p>
        </w:tc>
        <w:tc>
          <w:tcPr>
            <w:tcW w:w="1677" w:type="dxa"/>
          </w:tcPr>
          <w:p w14:paraId="303BCC71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Low Frequency</w:t>
            </w:r>
          </w:p>
        </w:tc>
        <w:tc>
          <w:tcPr>
            <w:tcW w:w="2597" w:type="dxa"/>
          </w:tcPr>
          <w:p w14:paraId="011ED4C9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Air embolism, oxygenator failure, venous air lock, pump malfunction, gas supply interruption, protamine reaction, heparin resistance, emergency decannulation, ECPR deployment, ECMO-to-CPB conversion</w:t>
            </w:r>
          </w:p>
        </w:tc>
        <w:tc>
          <w:tcPr>
            <w:tcW w:w="1842" w:type="dxa"/>
          </w:tcPr>
          <w:p w14:paraId="16D5CC4F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Immediate implementation / early development</w:t>
            </w:r>
          </w:p>
        </w:tc>
      </w:tr>
      <w:tr w:rsidR="006818AE" w:rsidRPr="005645A7" w14:paraId="0D4C6C5F" w14:textId="77777777" w:rsidTr="00E26682">
        <w:tc>
          <w:tcPr>
            <w:tcW w:w="2317" w:type="dxa"/>
          </w:tcPr>
          <w:p w14:paraId="116E83F7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Priority 3</w:t>
            </w:r>
          </w:p>
        </w:tc>
        <w:tc>
          <w:tcPr>
            <w:tcW w:w="1348" w:type="dxa"/>
          </w:tcPr>
          <w:p w14:paraId="57C944A7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High Risk</w:t>
            </w:r>
          </w:p>
        </w:tc>
        <w:tc>
          <w:tcPr>
            <w:tcW w:w="1677" w:type="dxa"/>
          </w:tcPr>
          <w:p w14:paraId="5F5B996A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Moderate Frequency</w:t>
            </w:r>
          </w:p>
        </w:tc>
        <w:tc>
          <w:tcPr>
            <w:tcW w:w="2597" w:type="dxa"/>
          </w:tcPr>
          <w:p w14:paraId="58195877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ECMO initiation and management, ECMO retrieval, VAD support, temporary mechanical circulatory support, CPB-to-ECMO conversion, minimally invasive cardiac surgery conversion</w:t>
            </w:r>
          </w:p>
        </w:tc>
        <w:tc>
          <w:tcPr>
            <w:tcW w:w="1842" w:type="dxa"/>
          </w:tcPr>
          <w:p w14:paraId="5F63A8B7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Intermediate implementation</w:t>
            </w:r>
          </w:p>
        </w:tc>
      </w:tr>
      <w:tr w:rsidR="006818AE" w:rsidRPr="005645A7" w14:paraId="4C044C31" w14:textId="77777777" w:rsidTr="00E26682">
        <w:tc>
          <w:tcPr>
            <w:tcW w:w="2317" w:type="dxa"/>
          </w:tcPr>
          <w:p w14:paraId="47E61D9A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Priority 4</w:t>
            </w:r>
          </w:p>
        </w:tc>
        <w:tc>
          <w:tcPr>
            <w:tcW w:w="1348" w:type="dxa"/>
          </w:tcPr>
          <w:p w14:paraId="620A7369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Institution-Specific / Specialized Services</w:t>
            </w:r>
          </w:p>
        </w:tc>
        <w:tc>
          <w:tcPr>
            <w:tcW w:w="1677" w:type="dxa"/>
          </w:tcPr>
          <w:p w14:paraId="45FA7483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Low Frequency</w:t>
            </w:r>
          </w:p>
        </w:tc>
        <w:tc>
          <w:tcPr>
            <w:tcW w:w="2597" w:type="dxa"/>
          </w:tcPr>
          <w:p w14:paraId="3454989D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Heart transplantation, lung transplantation, liver transplantation, pregnancy requiring cardiac surgery, APS, HIT, sickle cell disease, cold agglutinin disease, combined organ transplantation</w:t>
            </w:r>
          </w:p>
        </w:tc>
        <w:tc>
          <w:tcPr>
            <w:tcW w:w="1842" w:type="dxa"/>
          </w:tcPr>
          <w:p w14:paraId="2C6F7C67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Develop according to local case mix and services offered</w:t>
            </w:r>
          </w:p>
        </w:tc>
      </w:tr>
      <w:tr w:rsidR="006818AE" w:rsidRPr="00074A3C" w14:paraId="4246A9E5" w14:textId="77777777" w:rsidTr="00E26682">
        <w:tc>
          <w:tcPr>
            <w:tcW w:w="2317" w:type="dxa"/>
          </w:tcPr>
          <w:p w14:paraId="5BEBC64C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>Priority 5</w:t>
            </w:r>
          </w:p>
        </w:tc>
        <w:tc>
          <w:tcPr>
            <w:tcW w:w="1348" w:type="dxa"/>
          </w:tcPr>
          <w:p w14:paraId="7F232AEC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 xml:space="preserve">Governance, Education </w:t>
            </w:r>
            <w:r w:rsidRPr="005645A7">
              <w:rPr>
                <w:sz w:val="21"/>
                <w:szCs w:val="21"/>
              </w:rPr>
              <w:lastRenderedPageBreak/>
              <w:t>and Quality Improvement</w:t>
            </w:r>
          </w:p>
        </w:tc>
        <w:tc>
          <w:tcPr>
            <w:tcW w:w="1677" w:type="dxa"/>
          </w:tcPr>
          <w:p w14:paraId="03328D5C" w14:textId="77777777" w:rsidR="006818AE" w:rsidRPr="005645A7" w:rsidRDefault="006818AE" w:rsidP="00E26682">
            <w:pPr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lastRenderedPageBreak/>
              <w:t>Ongoing</w:t>
            </w:r>
          </w:p>
        </w:tc>
        <w:tc>
          <w:tcPr>
            <w:tcW w:w="2597" w:type="dxa"/>
          </w:tcPr>
          <w:p w14:paraId="4565AC02" w14:textId="77777777" w:rsidR="006818AE" w:rsidRPr="005645A7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t xml:space="preserve">Audit programs, competency assessments, simulation </w:t>
            </w:r>
            <w:r w:rsidRPr="005645A7">
              <w:rPr>
                <w:sz w:val="21"/>
                <w:szCs w:val="21"/>
              </w:rPr>
              <w:lastRenderedPageBreak/>
              <w:t>training, protocol review processes, document control, incident review, compliance monitoring</w:t>
            </w:r>
          </w:p>
        </w:tc>
        <w:tc>
          <w:tcPr>
            <w:tcW w:w="1842" w:type="dxa"/>
          </w:tcPr>
          <w:p w14:paraId="68849B4C" w14:textId="77777777" w:rsidR="006818AE" w:rsidRPr="00074A3C" w:rsidRDefault="006818AE" w:rsidP="00E26682">
            <w:pPr>
              <w:jc w:val="left"/>
              <w:rPr>
                <w:sz w:val="21"/>
                <w:szCs w:val="21"/>
              </w:rPr>
            </w:pPr>
            <w:r w:rsidRPr="005645A7">
              <w:rPr>
                <w:sz w:val="21"/>
                <w:szCs w:val="21"/>
              </w:rPr>
              <w:lastRenderedPageBreak/>
              <w:t>Continuous maintenance</w:t>
            </w:r>
          </w:p>
        </w:tc>
      </w:tr>
    </w:tbl>
    <w:p w14:paraId="2BF096A0" w14:textId="77777777" w:rsidR="006818AE" w:rsidRDefault="006818AE" w:rsidP="006818AE">
      <w:pPr>
        <w:pStyle w:val="Text"/>
        <w:ind w:firstLineChars="0" w:firstLine="0"/>
        <w:rPr>
          <w:rFonts w:eastAsia="宋体"/>
          <w:noProof/>
          <w:snapToGrid/>
          <w:szCs w:val="24"/>
          <w:lang w:eastAsia="zh-CN"/>
        </w:rPr>
      </w:pPr>
    </w:p>
    <w:p w14:paraId="1967300C" w14:textId="77777777" w:rsidR="006818AE" w:rsidRPr="006818AE" w:rsidRDefault="006818AE"/>
    <w:sectPr w:rsidR="006818AE" w:rsidRPr="006818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25D12" w14:textId="77777777" w:rsidR="00C300E8" w:rsidRDefault="00C300E8" w:rsidP="006818AE">
      <w:pPr>
        <w:spacing w:after="0" w:line="240" w:lineRule="auto"/>
      </w:pPr>
      <w:r>
        <w:separator/>
      </w:r>
    </w:p>
  </w:endnote>
  <w:endnote w:type="continuationSeparator" w:id="0">
    <w:p w14:paraId="731CEF4A" w14:textId="77777777" w:rsidR="00C300E8" w:rsidRDefault="00C300E8" w:rsidP="0068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A53F66" w14:textId="77777777" w:rsidR="00C300E8" w:rsidRDefault="00C300E8" w:rsidP="006818AE">
      <w:pPr>
        <w:spacing w:after="0" w:line="240" w:lineRule="auto"/>
      </w:pPr>
      <w:r>
        <w:separator/>
      </w:r>
    </w:p>
  </w:footnote>
  <w:footnote w:type="continuationSeparator" w:id="0">
    <w:p w14:paraId="0749CA91" w14:textId="77777777" w:rsidR="00C300E8" w:rsidRDefault="00C300E8" w:rsidP="006818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990"/>
    <w:rsid w:val="00065EF8"/>
    <w:rsid w:val="00203B1F"/>
    <w:rsid w:val="002249E2"/>
    <w:rsid w:val="002F418F"/>
    <w:rsid w:val="003B4929"/>
    <w:rsid w:val="005611BE"/>
    <w:rsid w:val="005645A7"/>
    <w:rsid w:val="006818AE"/>
    <w:rsid w:val="006E6EA0"/>
    <w:rsid w:val="007149B7"/>
    <w:rsid w:val="007635B4"/>
    <w:rsid w:val="00826084"/>
    <w:rsid w:val="00865990"/>
    <w:rsid w:val="00C300E8"/>
    <w:rsid w:val="00D151B5"/>
    <w:rsid w:val="00FB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839F9D"/>
  <w15:chartTrackingRefBased/>
  <w15:docId w15:val="{AF48CF22-0090-4E46-956B-149E16B9A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59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9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9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9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9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9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9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9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9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659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8659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8659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86599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865990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8659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865990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659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8659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59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65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9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659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59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659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599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599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59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6599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599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818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818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818A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818AE"/>
    <w:rPr>
      <w:sz w:val="18"/>
      <w:szCs w:val="18"/>
    </w:rPr>
  </w:style>
  <w:style w:type="table" w:styleId="af2">
    <w:name w:val="Table Grid"/>
    <w:basedOn w:val="a1"/>
    <w:uiPriority w:val="59"/>
    <w:rsid w:val="006818AE"/>
    <w:pPr>
      <w:spacing w:after="0"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body">
    <w:name w:val="Table body"/>
    <w:uiPriority w:val="11"/>
    <w:qFormat/>
    <w:rsid w:val="006818AE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kern w:val="0"/>
      <w:sz w:val="21"/>
      <w:szCs w:val="21"/>
      <w:lang w:val="en-US" w:eastAsia="de-DE" w:bidi="en-US"/>
      <w14:ligatures w14:val="none"/>
    </w:rPr>
  </w:style>
  <w:style w:type="paragraph" w:customStyle="1" w:styleId="Tablecaption">
    <w:name w:val="Table caption"/>
    <w:uiPriority w:val="11"/>
    <w:qFormat/>
    <w:rsid w:val="006818AE"/>
    <w:pPr>
      <w:adjustRightInd w:val="0"/>
      <w:snapToGrid w:val="0"/>
      <w:spacing w:beforeLines="100" w:before="100" w:afterLines="100" w:after="100" w:line="240" w:lineRule="auto"/>
      <w:jc w:val="center"/>
    </w:pPr>
    <w:rPr>
      <w:rFonts w:ascii="Times New Roman" w:eastAsia="Times New Roman" w:hAnsi="Times New Roman" w:cs="Times New Roman"/>
      <w:b/>
      <w:noProof/>
      <w:color w:val="000000"/>
      <w:kern w:val="0"/>
      <w:sz w:val="21"/>
      <w:lang w:val="en-US" w:eastAsia="zh-CN" w:bidi="en-US"/>
      <w14:ligatures w14:val="none"/>
    </w:rPr>
  </w:style>
  <w:style w:type="paragraph" w:customStyle="1" w:styleId="Text">
    <w:name w:val="Text"/>
    <w:link w:val="Text0"/>
    <w:uiPriority w:val="10"/>
    <w:qFormat/>
    <w:rsid w:val="006818AE"/>
    <w:pPr>
      <w:spacing w:after="0" w:line="240" w:lineRule="auto"/>
      <w:ind w:firstLineChars="200" w:firstLine="200"/>
      <w:jc w:val="both"/>
    </w:pPr>
    <w:rPr>
      <w:rFonts w:ascii="Times New Roman" w:eastAsia="Times New Roman" w:hAnsi="Times New Roman" w:cs="Times New Roman"/>
      <w:snapToGrid w:val="0"/>
      <w:color w:val="000000"/>
      <w:kern w:val="0"/>
      <w:sz w:val="21"/>
      <w:szCs w:val="28"/>
      <w:lang w:val="en-US" w:eastAsia="de-DE" w:bidi="en-US"/>
      <w14:ligatures w14:val="none"/>
    </w:rPr>
  </w:style>
  <w:style w:type="character" w:customStyle="1" w:styleId="Text0">
    <w:name w:val="Text 字符"/>
    <w:basedOn w:val="a0"/>
    <w:link w:val="Text"/>
    <w:uiPriority w:val="10"/>
    <w:rsid w:val="006818AE"/>
    <w:rPr>
      <w:rFonts w:ascii="Times New Roman" w:eastAsia="Times New Roman" w:hAnsi="Times New Roman" w:cs="Times New Roman"/>
      <w:snapToGrid w:val="0"/>
      <w:color w:val="000000"/>
      <w:kern w:val="0"/>
      <w:sz w:val="21"/>
      <w:szCs w:val="28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545</Words>
  <Characters>3110</Characters>
  <Application>Microsoft Office Word</Application>
  <DocSecurity>0</DocSecurity>
  <Lines>25</Lines>
  <Paragraphs>7</Paragraphs>
  <ScaleCrop>false</ScaleCrop>
  <Company/>
  <LinksUpToDate>false</LinksUpToDate>
  <CharactersWithSpaces>3648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Rabia</dc:creator>
  <cp:keywords/>
  <dc:description/>
  <cp:lastModifiedBy>cheryl</cp:lastModifiedBy>
  <cp:revision>5</cp:revision>
  <dcterms:created xsi:type="dcterms:W3CDTF">2026-06-22T05:31:00Z</dcterms:created>
  <dcterms:modified xsi:type="dcterms:W3CDTF">2026-07-16T05:22:00Z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683d52c4-145e-41c7-bfe3-5a01b5888967</vt:lpwstr>
  </property>
</Properties>
</file>